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18" w:rsidRPr="00F32B4C" w:rsidRDefault="00F22318">
      <w:pPr>
        <w:pageBreakBefore/>
        <w:spacing w:after="0" w:line="240" w:lineRule="auto"/>
        <w:rPr>
          <w:rFonts w:ascii="Arial" w:hAnsi="Arial" w:cs="Arial"/>
        </w:rPr>
      </w:pP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proofErr w:type="spellStart"/>
      <w:r w:rsidRPr="00F32B4C">
        <w:rPr>
          <w:rFonts w:ascii="Arial" w:eastAsia="Arial" w:hAnsi="Arial" w:cs="Arial"/>
          <w:color w:val="252525"/>
        </w:rPr>
        <w:t>Dear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[Council Member / </w:t>
      </w:r>
      <w:proofErr w:type="spellStart"/>
      <w:r w:rsidRPr="00F32B4C">
        <w:rPr>
          <w:rFonts w:ascii="Arial" w:eastAsia="Arial" w:hAnsi="Arial" w:cs="Arial"/>
          <w:color w:val="252525"/>
        </w:rPr>
        <w:t>Local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Representative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/ Candidate],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Gender </w:t>
      </w:r>
      <w:proofErr w:type="spellStart"/>
      <w:r w:rsidRPr="00F32B4C">
        <w:rPr>
          <w:rFonts w:ascii="Arial" w:eastAsia="Arial" w:hAnsi="Arial" w:cs="Arial"/>
          <w:color w:val="252525"/>
        </w:rPr>
        <w:t>equality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is </w:t>
      </w:r>
      <w:proofErr w:type="spellStart"/>
      <w:r w:rsidRPr="00F32B4C">
        <w:rPr>
          <w:rFonts w:ascii="Arial" w:eastAsia="Arial" w:hAnsi="Arial" w:cs="Arial"/>
          <w:color w:val="252525"/>
        </w:rPr>
        <w:t>still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far </w:t>
      </w:r>
      <w:proofErr w:type="spellStart"/>
      <w:r w:rsidRPr="00F32B4C">
        <w:rPr>
          <w:rFonts w:ascii="Arial" w:eastAsia="Arial" w:hAnsi="Arial" w:cs="Arial"/>
          <w:color w:val="252525"/>
        </w:rPr>
        <w:t>from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 </w:t>
      </w:r>
      <w:proofErr w:type="spellStart"/>
      <w:r w:rsidRPr="00F32B4C">
        <w:rPr>
          <w:rFonts w:ascii="Arial" w:eastAsia="Arial" w:hAnsi="Arial" w:cs="Arial"/>
          <w:color w:val="252525"/>
        </w:rPr>
        <w:t>lived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reality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</w:t>
      </w:r>
      <w:proofErr w:type="spellStart"/>
      <w:r w:rsidRPr="00F32B4C">
        <w:rPr>
          <w:rFonts w:ascii="Arial" w:eastAsia="Arial" w:hAnsi="Arial" w:cs="Arial"/>
          <w:color w:val="252525"/>
        </w:rPr>
        <w:t>many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communities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around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world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</w:t>
      </w:r>
      <w:proofErr w:type="spellStart"/>
      <w:r w:rsidRPr="00F32B4C">
        <w:rPr>
          <w:rFonts w:ascii="Arial" w:eastAsia="Arial" w:hAnsi="Arial" w:cs="Arial"/>
          <w:color w:val="252525"/>
        </w:rPr>
        <w:t>Political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economic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social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inequalities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continue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affect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disproportionately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earn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less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on </w:t>
      </w:r>
      <w:proofErr w:type="spellStart"/>
      <w:r w:rsidRPr="00F32B4C">
        <w:rPr>
          <w:rFonts w:ascii="Arial" w:eastAsia="Arial" w:hAnsi="Arial" w:cs="Arial"/>
          <w:color w:val="252525"/>
        </w:rPr>
        <w:t>average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carry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 </w:t>
      </w:r>
      <w:proofErr w:type="spellStart"/>
      <w:r w:rsidRPr="00F32B4C">
        <w:rPr>
          <w:rFonts w:ascii="Arial" w:eastAsia="Arial" w:hAnsi="Arial" w:cs="Arial"/>
          <w:color w:val="252525"/>
        </w:rPr>
        <w:t>significantly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higher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burden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F32B4C">
        <w:rPr>
          <w:rFonts w:ascii="Arial" w:eastAsia="Arial" w:hAnsi="Arial" w:cs="Arial"/>
          <w:color w:val="252525"/>
        </w:rPr>
        <w:t>unpaid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care </w:t>
      </w:r>
      <w:proofErr w:type="spellStart"/>
      <w:r w:rsidRPr="00F32B4C">
        <w:rPr>
          <w:rFonts w:ascii="Arial" w:eastAsia="Arial" w:hAnsi="Arial" w:cs="Arial"/>
          <w:color w:val="252525"/>
        </w:rPr>
        <w:t>work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face gender bias in </w:t>
      </w:r>
      <w:proofErr w:type="spellStart"/>
      <w:r w:rsidRPr="00F32B4C">
        <w:rPr>
          <w:rFonts w:ascii="Arial" w:eastAsia="Arial" w:hAnsi="Arial" w:cs="Arial"/>
          <w:color w:val="252525"/>
        </w:rPr>
        <w:t>healthcare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systems,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experience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higher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levels of </w:t>
      </w:r>
      <w:proofErr w:type="spellStart"/>
      <w:r w:rsidRPr="00F32B4C">
        <w:rPr>
          <w:rFonts w:ascii="Arial" w:eastAsia="Arial" w:hAnsi="Arial" w:cs="Arial"/>
          <w:color w:val="252525"/>
        </w:rPr>
        <w:t>violence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</w:t>
      </w:r>
      <w:proofErr w:type="spellStart"/>
      <w:r w:rsidRPr="00F32B4C">
        <w:rPr>
          <w:rFonts w:ascii="Arial" w:eastAsia="Arial" w:hAnsi="Arial" w:cs="Arial"/>
          <w:color w:val="252525"/>
        </w:rPr>
        <w:t>Local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governments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institutions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closest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people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play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 </w:t>
      </w:r>
      <w:proofErr w:type="spellStart"/>
      <w:r w:rsidRPr="00F32B4C">
        <w:rPr>
          <w:rFonts w:ascii="Arial" w:eastAsia="Arial" w:hAnsi="Arial" w:cs="Arial"/>
          <w:color w:val="252525"/>
        </w:rPr>
        <w:t>crucial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role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</w:t>
      </w:r>
      <w:proofErr w:type="spellStart"/>
      <w:r w:rsidRPr="00F32B4C">
        <w:rPr>
          <w:rFonts w:ascii="Arial" w:eastAsia="Arial" w:hAnsi="Arial" w:cs="Arial"/>
          <w:color w:val="252525"/>
        </w:rPr>
        <w:t>reducing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these </w:t>
      </w:r>
      <w:proofErr w:type="spellStart"/>
      <w:r w:rsidRPr="00F32B4C">
        <w:rPr>
          <w:rFonts w:ascii="Arial" w:eastAsia="Arial" w:hAnsi="Arial" w:cs="Arial"/>
          <w:color w:val="252525"/>
        </w:rPr>
        <w:t>inequalities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ensuring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safety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dignity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equal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opportunities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for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all</w:t>
      </w:r>
      <w:proofErr w:type="spellEnd"/>
      <w:r w:rsidRPr="00F32B4C">
        <w:rPr>
          <w:rFonts w:ascii="Arial" w:eastAsia="Arial" w:hAnsi="Arial" w:cs="Arial"/>
          <w:color w:val="252525"/>
        </w:rPr>
        <w:t>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r w:rsidRPr="00067D5C">
        <w:rPr>
          <w:rFonts w:ascii="Arial" w:eastAsia="Arial" w:hAnsi="Arial" w:cs="Arial"/>
          <w:b/>
          <w:color w:val="252525"/>
        </w:rPr>
        <w:t xml:space="preserve">A Call </w:t>
      </w:r>
      <w:proofErr w:type="spellStart"/>
      <w:r w:rsidRPr="00067D5C">
        <w:rPr>
          <w:rFonts w:ascii="Arial" w:eastAsia="Arial" w:hAnsi="Arial" w:cs="Arial"/>
          <w:b/>
          <w:color w:val="252525"/>
        </w:rPr>
        <w:t>to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Action: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I </w:t>
      </w:r>
      <w:proofErr w:type="spellStart"/>
      <w:r w:rsidRPr="00F32B4C">
        <w:rPr>
          <w:rFonts w:ascii="Arial" w:eastAsia="Arial" w:hAnsi="Arial" w:cs="Arial"/>
          <w:color w:val="252525"/>
        </w:rPr>
        <w:t>respectfully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urge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you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include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concrete </w:t>
      </w:r>
      <w:proofErr w:type="spellStart"/>
      <w:r w:rsidRPr="00F32B4C">
        <w:rPr>
          <w:rFonts w:ascii="Arial" w:eastAsia="Arial" w:hAnsi="Arial" w:cs="Arial"/>
          <w:color w:val="252525"/>
        </w:rPr>
        <w:t>measures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advance gender </w:t>
      </w:r>
      <w:proofErr w:type="spellStart"/>
      <w:r w:rsidRPr="00F32B4C">
        <w:rPr>
          <w:rFonts w:ascii="Arial" w:eastAsia="Arial" w:hAnsi="Arial" w:cs="Arial"/>
          <w:color w:val="252525"/>
        </w:rPr>
        <w:t>equality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</w:t>
      </w:r>
      <w:proofErr w:type="spellStart"/>
      <w:r w:rsidRPr="00F32B4C">
        <w:rPr>
          <w:rFonts w:ascii="Arial" w:eastAsia="Arial" w:hAnsi="Arial" w:cs="Arial"/>
          <w:color w:val="252525"/>
        </w:rPr>
        <w:t>your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priorities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policy </w:t>
      </w:r>
      <w:proofErr w:type="spellStart"/>
      <w:r w:rsidRPr="00F32B4C">
        <w:rPr>
          <w:rFonts w:ascii="Arial" w:eastAsia="Arial" w:hAnsi="Arial" w:cs="Arial"/>
          <w:color w:val="252525"/>
        </w:rPr>
        <w:t>plans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for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coming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years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</w:t>
      </w:r>
      <w:proofErr w:type="spellStart"/>
      <w:r w:rsidRPr="00F32B4C">
        <w:rPr>
          <w:rFonts w:ascii="Arial" w:eastAsia="Arial" w:hAnsi="Arial" w:cs="Arial"/>
          <w:color w:val="252525"/>
        </w:rPr>
        <w:t>This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can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done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by</w:t>
      </w:r>
      <w:proofErr w:type="spellEnd"/>
      <w:r w:rsidRPr="00F32B4C">
        <w:rPr>
          <w:rFonts w:ascii="Arial" w:eastAsia="Arial" w:hAnsi="Arial" w:cs="Arial"/>
          <w:color w:val="252525"/>
        </w:rPr>
        <w:t>: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 w:rsidP="00067D5C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bookmarkStart w:id="0" w:name="_GoBack"/>
      <w:proofErr w:type="spellStart"/>
      <w:r w:rsidRPr="00067D5C">
        <w:rPr>
          <w:rFonts w:ascii="Arial" w:eastAsia="Arial" w:hAnsi="Arial" w:cs="Arial"/>
          <w:color w:val="252525"/>
        </w:rPr>
        <w:t>developing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or updating a Gender </w:t>
      </w:r>
      <w:proofErr w:type="spellStart"/>
      <w:r w:rsidRPr="00067D5C">
        <w:rPr>
          <w:rFonts w:ascii="Arial" w:eastAsia="Arial" w:hAnsi="Arial" w:cs="Arial"/>
          <w:color w:val="252525"/>
        </w:rPr>
        <w:t>Equality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Action Plan,  </w:t>
      </w:r>
    </w:p>
    <w:p w:rsidR="00F22318" w:rsidRPr="00067D5C" w:rsidRDefault="00217BAE" w:rsidP="00067D5C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proofErr w:type="spellStart"/>
      <w:r w:rsidRPr="00067D5C">
        <w:rPr>
          <w:rFonts w:ascii="Arial" w:eastAsia="Arial" w:hAnsi="Arial" w:cs="Arial"/>
          <w:color w:val="252525"/>
        </w:rPr>
        <w:t>integrating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gender</w:t>
      </w:r>
      <w:r w:rsidRPr="00067D5C">
        <w:rPr>
          <w:rFonts w:ascii="MS Gothic" w:eastAsia="MS Gothic" w:hAnsi="MS Gothic" w:cs="MS Gothic" w:hint="eastAsia"/>
          <w:color w:val="252525"/>
        </w:rPr>
        <w:t>‑</w:t>
      </w:r>
      <w:proofErr w:type="spellStart"/>
      <w:r w:rsidRPr="00067D5C">
        <w:rPr>
          <w:rFonts w:ascii="Arial" w:eastAsia="Arial" w:hAnsi="Arial" w:cs="Arial"/>
          <w:color w:val="252525"/>
        </w:rPr>
        <w:t>responsive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approaches </w:t>
      </w:r>
      <w:proofErr w:type="spellStart"/>
      <w:r w:rsidRPr="00067D5C">
        <w:rPr>
          <w:rFonts w:ascii="Arial" w:eastAsia="Arial" w:hAnsi="Arial" w:cs="Arial"/>
          <w:color w:val="252525"/>
        </w:rPr>
        <w:t>into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all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policy </w:t>
      </w:r>
      <w:proofErr w:type="spellStart"/>
      <w:r w:rsidRPr="00067D5C">
        <w:rPr>
          <w:rFonts w:ascii="Arial" w:eastAsia="Arial" w:hAnsi="Arial" w:cs="Arial"/>
          <w:color w:val="252525"/>
        </w:rPr>
        <w:t>areas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 </w:t>
      </w:r>
    </w:p>
    <w:p w:rsidR="00F22318" w:rsidRPr="00067D5C" w:rsidRDefault="00217BAE" w:rsidP="00067D5C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ensuring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that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local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decisions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reduce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</w:t>
      </w:r>
      <w:proofErr w:type="spellStart"/>
      <w:r w:rsidRPr="00067D5C">
        <w:rPr>
          <w:rFonts w:ascii="Arial" w:eastAsia="Arial" w:hAnsi="Arial" w:cs="Arial"/>
          <w:color w:val="252525"/>
        </w:rPr>
        <w:t>rather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than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reinforce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</w:t>
      </w:r>
      <w:proofErr w:type="spellStart"/>
      <w:r w:rsidRPr="00067D5C">
        <w:rPr>
          <w:rFonts w:ascii="Arial" w:eastAsia="Arial" w:hAnsi="Arial" w:cs="Arial"/>
          <w:color w:val="252525"/>
        </w:rPr>
        <w:t>existing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inequalities</w:t>
      </w:r>
      <w:proofErr w:type="spellEnd"/>
      <w:r w:rsidRPr="00067D5C">
        <w:rPr>
          <w:rFonts w:ascii="Arial" w:eastAsia="Arial" w:hAnsi="Arial" w:cs="Arial"/>
          <w:color w:val="252525"/>
        </w:rPr>
        <w:t>.</w:t>
      </w:r>
    </w:p>
    <w:bookmarkEnd w:id="0"/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Even </w:t>
      </w:r>
      <w:proofErr w:type="spellStart"/>
      <w:r w:rsidRPr="00F32B4C">
        <w:rPr>
          <w:rFonts w:ascii="Arial" w:eastAsia="Arial" w:hAnsi="Arial" w:cs="Arial"/>
          <w:color w:val="252525"/>
        </w:rPr>
        <w:t>policies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that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may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seem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unrelated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gender, </w:t>
      </w:r>
      <w:proofErr w:type="spellStart"/>
      <w:r w:rsidRPr="00F32B4C">
        <w:rPr>
          <w:rFonts w:ascii="Arial" w:eastAsia="Arial" w:hAnsi="Arial" w:cs="Arial"/>
          <w:color w:val="252525"/>
        </w:rPr>
        <w:t>such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as </w:t>
      </w:r>
      <w:proofErr w:type="spellStart"/>
      <w:r w:rsidRPr="00F32B4C">
        <w:rPr>
          <w:rFonts w:ascii="Arial" w:eastAsia="Arial" w:hAnsi="Arial" w:cs="Arial"/>
          <w:color w:val="252525"/>
        </w:rPr>
        <w:t>sports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public </w:t>
      </w:r>
      <w:proofErr w:type="spellStart"/>
      <w:r w:rsidRPr="00F32B4C">
        <w:rPr>
          <w:rFonts w:ascii="Arial" w:eastAsia="Arial" w:hAnsi="Arial" w:cs="Arial"/>
          <w:color w:val="252525"/>
        </w:rPr>
        <w:t>safety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poverty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reduction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or </w:t>
      </w:r>
      <w:proofErr w:type="spellStart"/>
      <w:r w:rsidRPr="00F32B4C">
        <w:rPr>
          <w:rFonts w:ascii="Arial" w:eastAsia="Arial" w:hAnsi="Arial" w:cs="Arial"/>
          <w:color w:val="252525"/>
        </w:rPr>
        <w:t>urban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planning, </w:t>
      </w:r>
      <w:proofErr w:type="spellStart"/>
      <w:r w:rsidRPr="00F32B4C">
        <w:rPr>
          <w:rFonts w:ascii="Arial" w:eastAsia="Arial" w:hAnsi="Arial" w:cs="Arial"/>
          <w:color w:val="252525"/>
        </w:rPr>
        <w:t>often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have different impacts on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men,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gender</w:t>
      </w:r>
      <w:r w:rsidRPr="00F32B4C">
        <w:rPr>
          <w:rFonts w:ascii="MS Gothic" w:eastAsia="MS Gothic" w:hAnsi="MS Gothic" w:cs="MS Gothic" w:hint="eastAsia"/>
          <w:color w:val="252525"/>
        </w:rPr>
        <w:t>‑</w:t>
      </w:r>
      <w:r w:rsidRPr="00F32B4C">
        <w:rPr>
          <w:rFonts w:ascii="Arial" w:eastAsia="Arial" w:hAnsi="Arial" w:cs="Arial"/>
          <w:color w:val="252525"/>
        </w:rPr>
        <w:t xml:space="preserve">diverse </w:t>
      </w:r>
      <w:proofErr w:type="spellStart"/>
      <w:r w:rsidRPr="00F32B4C">
        <w:rPr>
          <w:rFonts w:ascii="Arial" w:eastAsia="Arial" w:hAnsi="Arial" w:cs="Arial"/>
          <w:color w:val="252525"/>
        </w:rPr>
        <w:t>people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For </w:t>
      </w:r>
      <w:proofErr w:type="spellStart"/>
      <w:r w:rsidRPr="00F32B4C">
        <w:rPr>
          <w:rFonts w:ascii="Arial" w:eastAsia="Arial" w:hAnsi="Arial" w:cs="Arial"/>
          <w:color w:val="252525"/>
        </w:rPr>
        <w:t>example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girls’ </w:t>
      </w:r>
      <w:proofErr w:type="spellStart"/>
      <w:r w:rsidRPr="00F32B4C">
        <w:rPr>
          <w:rFonts w:ascii="Arial" w:eastAsia="Arial" w:hAnsi="Arial" w:cs="Arial"/>
          <w:color w:val="252525"/>
        </w:rPr>
        <w:t>participation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</w:t>
      </w:r>
      <w:proofErr w:type="spellStart"/>
      <w:r w:rsidRPr="00F32B4C">
        <w:rPr>
          <w:rFonts w:ascii="Arial" w:eastAsia="Arial" w:hAnsi="Arial" w:cs="Arial"/>
          <w:color w:val="252525"/>
        </w:rPr>
        <w:t>sports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is </w:t>
      </w:r>
      <w:proofErr w:type="spellStart"/>
      <w:r w:rsidRPr="00F32B4C">
        <w:rPr>
          <w:rFonts w:ascii="Arial" w:eastAsia="Arial" w:hAnsi="Arial" w:cs="Arial"/>
          <w:color w:val="252525"/>
        </w:rPr>
        <w:t>lower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face </w:t>
      </w:r>
      <w:proofErr w:type="spellStart"/>
      <w:r w:rsidRPr="00F32B4C">
        <w:rPr>
          <w:rFonts w:ascii="Arial" w:eastAsia="Arial" w:hAnsi="Arial" w:cs="Arial"/>
          <w:color w:val="252525"/>
        </w:rPr>
        <w:t>higher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risks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F32B4C">
        <w:rPr>
          <w:rFonts w:ascii="Arial" w:eastAsia="Arial" w:hAnsi="Arial" w:cs="Arial"/>
          <w:color w:val="252525"/>
        </w:rPr>
        <w:t>poverty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many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feel </w:t>
      </w:r>
      <w:proofErr w:type="spellStart"/>
      <w:r w:rsidRPr="00F32B4C">
        <w:rPr>
          <w:rFonts w:ascii="Arial" w:eastAsia="Arial" w:hAnsi="Arial" w:cs="Arial"/>
          <w:color w:val="252525"/>
        </w:rPr>
        <w:t>unsafe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public </w:t>
      </w:r>
      <w:proofErr w:type="spellStart"/>
      <w:r w:rsidRPr="00F32B4C">
        <w:rPr>
          <w:rFonts w:ascii="Arial" w:eastAsia="Arial" w:hAnsi="Arial" w:cs="Arial"/>
          <w:color w:val="252525"/>
        </w:rPr>
        <w:t>spaces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</w:t>
      </w:r>
      <w:proofErr w:type="spellStart"/>
      <w:r w:rsidRPr="00F32B4C">
        <w:rPr>
          <w:rFonts w:ascii="Arial" w:eastAsia="Arial" w:hAnsi="Arial" w:cs="Arial"/>
          <w:color w:val="252525"/>
        </w:rPr>
        <w:t>By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applying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 gender</w:t>
      </w:r>
      <w:r w:rsidRPr="00F32B4C">
        <w:rPr>
          <w:rFonts w:ascii="MS Gothic" w:eastAsia="MS Gothic" w:hAnsi="MS Gothic" w:cs="MS Gothic" w:hint="eastAsia"/>
          <w:color w:val="252525"/>
        </w:rPr>
        <w:t>‑</w:t>
      </w:r>
      <w:proofErr w:type="spellStart"/>
      <w:r w:rsidRPr="00F32B4C">
        <w:rPr>
          <w:rFonts w:ascii="Arial" w:eastAsia="Arial" w:hAnsi="Arial" w:cs="Arial"/>
          <w:color w:val="252525"/>
        </w:rPr>
        <w:t>sensitive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lens, </w:t>
      </w:r>
      <w:proofErr w:type="spellStart"/>
      <w:r w:rsidRPr="00F32B4C">
        <w:rPr>
          <w:rFonts w:ascii="Arial" w:eastAsia="Arial" w:hAnsi="Arial" w:cs="Arial"/>
          <w:color w:val="252525"/>
        </w:rPr>
        <w:t>local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governments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can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break stereotypes </w:t>
      </w:r>
      <w:proofErr w:type="spellStart"/>
      <w:r w:rsidRPr="00F32B4C">
        <w:rPr>
          <w:rFonts w:ascii="Arial" w:eastAsia="Arial" w:hAnsi="Arial" w:cs="Arial"/>
          <w:color w:val="252525"/>
        </w:rPr>
        <w:t>instead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F32B4C">
        <w:rPr>
          <w:rFonts w:ascii="Arial" w:eastAsia="Arial" w:hAnsi="Arial" w:cs="Arial"/>
          <w:color w:val="252525"/>
        </w:rPr>
        <w:t>reinforcing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them</w:t>
      </w:r>
      <w:proofErr w:type="spellEnd"/>
      <w:r w:rsidRPr="00F32B4C">
        <w:rPr>
          <w:rFonts w:ascii="Arial" w:eastAsia="Arial" w:hAnsi="Arial" w:cs="Arial"/>
          <w:color w:val="252525"/>
        </w:rPr>
        <w:t>.</w:t>
      </w:r>
    </w:p>
    <w:p w:rsidR="00F22318" w:rsidRPr="00217BAE" w:rsidRDefault="00F22318">
      <w:pPr>
        <w:spacing w:after="0" w:line="270" w:lineRule="auto"/>
        <w:rPr>
          <w:rFonts w:ascii="Arial" w:hAnsi="Arial" w:cs="Arial"/>
          <w:i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proofErr w:type="spellStart"/>
      <w:r w:rsidRPr="00067D5C">
        <w:rPr>
          <w:rFonts w:ascii="Arial" w:eastAsia="Arial" w:hAnsi="Arial" w:cs="Arial"/>
          <w:b/>
          <w:color w:val="252525"/>
        </w:rPr>
        <w:t>Why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Gender</w:t>
      </w:r>
      <w:r w:rsidRPr="00067D5C">
        <w:rPr>
          <w:rFonts w:ascii="MS Gothic" w:eastAsia="MS Gothic" w:hAnsi="MS Gothic" w:cs="MS Gothic" w:hint="eastAsia"/>
          <w:b/>
          <w:color w:val="252525"/>
        </w:rPr>
        <w:t>‑</w:t>
      </w:r>
      <w:proofErr w:type="spellStart"/>
      <w:r w:rsidRPr="00067D5C">
        <w:rPr>
          <w:rFonts w:ascii="Arial" w:eastAsia="Arial" w:hAnsi="Arial" w:cs="Arial"/>
          <w:b/>
          <w:color w:val="252525"/>
        </w:rPr>
        <w:t>Responsive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Policy Matters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>Gender</w:t>
      </w:r>
      <w:r w:rsidRPr="00F32B4C">
        <w:rPr>
          <w:rFonts w:ascii="MS Gothic" w:eastAsia="MS Gothic" w:hAnsi="MS Gothic" w:cs="MS Gothic" w:hint="eastAsia"/>
          <w:color w:val="252525"/>
        </w:rPr>
        <w:t>‑</w:t>
      </w:r>
      <w:proofErr w:type="spellStart"/>
      <w:r w:rsidRPr="00F32B4C">
        <w:rPr>
          <w:rFonts w:ascii="Arial" w:eastAsia="Arial" w:hAnsi="Arial" w:cs="Arial"/>
          <w:color w:val="252525"/>
        </w:rPr>
        <w:t>neutral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policy </w:t>
      </w:r>
      <w:proofErr w:type="spellStart"/>
      <w:r w:rsidRPr="00F32B4C">
        <w:rPr>
          <w:rFonts w:ascii="Arial" w:eastAsia="Arial" w:hAnsi="Arial" w:cs="Arial"/>
          <w:color w:val="252525"/>
        </w:rPr>
        <w:t>assumes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that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all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people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experience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society in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same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way. In </w:t>
      </w:r>
      <w:proofErr w:type="spellStart"/>
      <w:r w:rsidRPr="00F32B4C">
        <w:rPr>
          <w:rFonts w:ascii="Arial" w:eastAsia="Arial" w:hAnsi="Arial" w:cs="Arial"/>
          <w:color w:val="252525"/>
        </w:rPr>
        <w:t>reality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gender </w:t>
      </w:r>
      <w:proofErr w:type="spellStart"/>
      <w:r w:rsidRPr="00F32B4C">
        <w:rPr>
          <w:rFonts w:ascii="Arial" w:eastAsia="Arial" w:hAnsi="Arial" w:cs="Arial"/>
          <w:color w:val="252525"/>
        </w:rPr>
        <w:t>shapes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daily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life, access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resources, </w:t>
      </w:r>
      <w:proofErr w:type="spellStart"/>
      <w:r w:rsidRPr="00F32B4C">
        <w:rPr>
          <w:rFonts w:ascii="Arial" w:eastAsia="Arial" w:hAnsi="Arial" w:cs="Arial"/>
          <w:color w:val="252525"/>
        </w:rPr>
        <w:t>safety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opportunities</w:t>
      </w:r>
      <w:proofErr w:type="spellEnd"/>
      <w:r w:rsidRPr="00F32B4C">
        <w:rPr>
          <w:rFonts w:ascii="Arial" w:eastAsia="Arial" w:hAnsi="Arial" w:cs="Arial"/>
          <w:color w:val="252525"/>
        </w:rPr>
        <w:t>. Gender</w:t>
      </w:r>
      <w:r w:rsidRPr="00F32B4C">
        <w:rPr>
          <w:rFonts w:ascii="MS Gothic" w:eastAsia="MS Gothic" w:hAnsi="MS Gothic" w:cs="MS Gothic" w:hint="eastAsia"/>
          <w:color w:val="252525"/>
        </w:rPr>
        <w:t>‑</w:t>
      </w:r>
      <w:proofErr w:type="spellStart"/>
      <w:r w:rsidRPr="00F32B4C">
        <w:rPr>
          <w:rFonts w:ascii="Arial" w:eastAsia="Arial" w:hAnsi="Arial" w:cs="Arial"/>
          <w:color w:val="252525"/>
        </w:rPr>
        <w:t>responsive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policy </w:t>
      </w:r>
      <w:proofErr w:type="spellStart"/>
      <w:r w:rsidRPr="00F32B4C">
        <w:rPr>
          <w:rFonts w:ascii="Arial" w:eastAsia="Arial" w:hAnsi="Arial" w:cs="Arial"/>
          <w:color w:val="252525"/>
        </w:rPr>
        <w:t>acknowledges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these </w:t>
      </w:r>
      <w:proofErr w:type="spellStart"/>
      <w:r w:rsidRPr="00F32B4C">
        <w:rPr>
          <w:rFonts w:ascii="Arial" w:eastAsia="Arial" w:hAnsi="Arial" w:cs="Arial"/>
          <w:color w:val="252525"/>
        </w:rPr>
        <w:t>differences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examines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root </w:t>
      </w:r>
      <w:proofErr w:type="spellStart"/>
      <w:r w:rsidRPr="00F32B4C">
        <w:rPr>
          <w:rFonts w:ascii="Arial" w:eastAsia="Arial" w:hAnsi="Arial" w:cs="Arial"/>
          <w:color w:val="252525"/>
        </w:rPr>
        <w:t>causes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ensures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that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interventions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do </w:t>
      </w:r>
      <w:proofErr w:type="spellStart"/>
      <w:r w:rsidRPr="00F32B4C">
        <w:rPr>
          <w:rFonts w:ascii="Arial" w:eastAsia="Arial" w:hAnsi="Arial" w:cs="Arial"/>
          <w:color w:val="252525"/>
        </w:rPr>
        <w:t>not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unintentionally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reinforce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inequality</w:t>
      </w:r>
      <w:proofErr w:type="spellEnd"/>
      <w:r w:rsidRPr="00F32B4C">
        <w:rPr>
          <w:rFonts w:ascii="Arial" w:eastAsia="Arial" w:hAnsi="Arial" w:cs="Arial"/>
          <w:color w:val="252525"/>
        </w:rPr>
        <w:t>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proofErr w:type="spellStart"/>
      <w:r w:rsidRPr="00067D5C">
        <w:rPr>
          <w:rFonts w:ascii="Arial" w:eastAsia="Arial" w:hAnsi="Arial" w:cs="Arial"/>
          <w:b/>
          <w:color w:val="252525"/>
        </w:rPr>
        <w:t>Examples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of </w:t>
      </w:r>
      <w:proofErr w:type="spellStart"/>
      <w:r w:rsidRPr="00067D5C">
        <w:rPr>
          <w:rFonts w:ascii="Arial" w:eastAsia="Arial" w:hAnsi="Arial" w:cs="Arial"/>
          <w:b/>
          <w:color w:val="252525"/>
        </w:rPr>
        <w:t>Local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Action Worldwide</w:t>
      </w:r>
    </w:p>
    <w:p w:rsidR="00F22318" w:rsidRPr="00F32B4C" w:rsidRDefault="00217BAE" w:rsidP="00F32B4C">
      <w:pPr>
        <w:spacing w:after="0" w:line="240" w:lineRule="auto"/>
        <w:rPr>
          <w:rFonts w:ascii="Arial" w:hAnsi="Arial" w:cs="Arial"/>
        </w:rPr>
      </w:pPr>
      <w:proofErr w:type="spellStart"/>
      <w:r w:rsidRPr="00F32B4C">
        <w:rPr>
          <w:rFonts w:ascii="Arial" w:eastAsia="Arial" w:hAnsi="Arial" w:cs="Arial"/>
          <w:color w:val="252525"/>
        </w:rPr>
        <w:t>Across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globe, </w:t>
      </w:r>
      <w:proofErr w:type="spellStart"/>
      <w:r w:rsidRPr="00F32B4C">
        <w:rPr>
          <w:rFonts w:ascii="Arial" w:eastAsia="Arial" w:hAnsi="Arial" w:cs="Arial"/>
          <w:color w:val="252525"/>
        </w:rPr>
        <w:t>local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governments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are </w:t>
      </w:r>
      <w:proofErr w:type="spellStart"/>
      <w:r w:rsidRPr="00F32B4C">
        <w:rPr>
          <w:rFonts w:ascii="Arial" w:eastAsia="Arial" w:hAnsi="Arial" w:cs="Arial"/>
          <w:color w:val="252525"/>
        </w:rPr>
        <w:t>taking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meaningful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steps, </w:t>
      </w:r>
      <w:proofErr w:type="spellStart"/>
      <w:r w:rsidRPr="00F32B4C">
        <w:rPr>
          <w:rFonts w:ascii="Arial" w:eastAsia="Arial" w:hAnsi="Arial" w:cs="Arial"/>
          <w:color w:val="252525"/>
        </w:rPr>
        <w:t>such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as: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 w:rsidP="00067D5C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067D5C">
        <w:rPr>
          <w:rFonts w:ascii="Arial" w:eastAsia="Arial" w:hAnsi="Arial" w:cs="Arial"/>
          <w:color w:val="252525"/>
        </w:rPr>
        <w:t>addressing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period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poverty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breaking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taboos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around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menstruation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 </w:t>
      </w:r>
    </w:p>
    <w:p w:rsidR="00F22318" w:rsidRPr="00067D5C" w:rsidRDefault="00217BAE" w:rsidP="00067D5C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067D5C">
        <w:rPr>
          <w:rFonts w:ascii="Arial" w:eastAsia="Arial" w:hAnsi="Arial" w:cs="Arial"/>
          <w:color w:val="252525"/>
        </w:rPr>
        <w:t>supporting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caregivers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to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better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balance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work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care </w:t>
      </w:r>
      <w:proofErr w:type="spellStart"/>
      <w:r w:rsidRPr="00067D5C">
        <w:rPr>
          <w:rFonts w:ascii="Arial" w:eastAsia="Arial" w:hAnsi="Arial" w:cs="Arial"/>
          <w:color w:val="252525"/>
        </w:rPr>
        <w:t>responsibilities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 </w:t>
      </w:r>
    </w:p>
    <w:p w:rsidR="00F22318" w:rsidRPr="00067D5C" w:rsidRDefault="00217BAE" w:rsidP="00067D5C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067D5C">
        <w:rPr>
          <w:rFonts w:ascii="Arial" w:eastAsia="Arial" w:hAnsi="Arial" w:cs="Arial"/>
          <w:color w:val="252525"/>
        </w:rPr>
        <w:t>assessing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reducing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the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gender </w:t>
      </w:r>
      <w:proofErr w:type="spellStart"/>
      <w:r w:rsidRPr="00067D5C">
        <w:rPr>
          <w:rFonts w:ascii="Arial" w:eastAsia="Arial" w:hAnsi="Arial" w:cs="Arial"/>
          <w:color w:val="252525"/>
        </w:rPr>
        <w:t>pay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gap </w:t>
      </w:r>
      <w:proofErr w:type="spellStart"/>
      <w:r w:rsidRPr="00067D5C">
        <w:rPr>
          <w:rFonts w:ascii="Arial" w:eastAsia="Arial" w:hAnsi="Arial" w:cs="Arial"/>
          <w:color w:val="252525"/>
        </w:rPr>
        <w:t>within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public </w:t>
      </w:r>
      <w:proofErr w:type="spellStart"/>
      <w:r w:rsidRPr="00067D5C">
        <w:rPr>
          <w:rFonts w:ascii="Arial" w:eastAsia="Arial" w:hAnsi="Arial" w:cs="Arial"/>
          <w:color w:val="252525"/>
        </w:rPr>
        <w:t>institutions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 </w:t>
      </w:r>
    </w:p>
    <w:p w:rsidR="00F22318" w:rsidRPr="00067D5C" w:rsidRDefault="00217BAE" w:rsidP="00067D5C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067D5C">
        <w:rPr>
          <w:rFonts w:ascii="Arial" w:eastAsia="Arial" w:hAnsi="Arial" w:cs="Arial"/>
          <w:color w:val="252525"/>
        </w:rPr>
        <w:t>improving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public </w:t>
      </w:r>
      <w:proofErr w:type="spellStart"/>
      <w:r w:rsidRPr="00067D5C">
        <w:rPr>
          <w:rFonts w:ascii="Arial" w:eastAsia="Arial" w:hAnsi="Arial" w:cs="Arial"/>
          <w:color w:val="252525"/>
        </w:rPr>
        <w:t>safety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so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women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girls </w:t>
      </w:r>
      <w:proofErr w:type="spellStart"/>
      <w:r w:rsidRPr="00067D5C">
        <w:rPr>
          <w:rFonts w:ascii="Arial" w:eastAsia="Arial" w:hAnsi="Arial" w:cs="Arial"/>
          <w:color w:val="252525"/>
        </w:rPr>
        <w:t>can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move </w:t>
      </w:r>
      <w:proofErr w:type="spellStart"/>
      <w:r w:rsidRPr="00067D5C">
        <w:rPr>
          <w:rFonts w:ascii="Arial" w:eastAsia="Arial" w:hAnsi="Arial" w:cs="Arial"/>
          <w:color w:val="252525"/>
        </w:rPr>
        <w:t>freely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safely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 </w:t>
      </w:r>
    </w:p>
    <w:p w:rsidR="00F22318" w:rsidRPr="00067D5C" w:rsidRDefault="00217BAE" w:rsidP="00067D5C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67D5C">
        <w:rPr>
          <w:rFonts w:ascii="Arial" w:eastAsia="Arial" w:hAnsi="Arial" w:cs="Arial"/>
          <w:color w:val="252525"/>
        </w:rPr>
        <w:t>promoting gender</w:t>
      </w:r>
      <w:r w:rsidRPr="00067D5C">
        <w:rPr>
          <w:rFonts w:ascii="MS Gothic" w:eastAsia="MS Gothic" w:hAnsi="MS Gothic" w:cs="MS Gothic" w:hint="eastAsia"/>
          <w:color w:val="252525"/>
        </w:rPr>
        <w:t>‑</w:t>
      </w:r>
      <w:proofErr w:type="spellStart"/>
      <w:r w:rsidRPr="00067D5C">
        <w:rPr>
          <w:rFonts w:ascii="Arial" w:eastAsia="Arial" w:hAnsi="Arial" w:cs="Arial"/>
          <w:color w:val="252525"/>
        </w:rPr>
        <w:t>inclusive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sports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</w:t>
      </w:r>
      <w:proofErr w:type="spellStart"/>
      <w:r w:rsidRPr="00067D5C">
        <w:rPr>
          <w:rFonts w:ascii="Arial" w:eastAsia="Arial" w:hAnsi="Arial" w:cs="Arial"/>
          <w:color w:val="252525"/>
        </w:rPr>
        <w:t>reintegration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</w:t>
      </w: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poverty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policies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,  </w:t>
      </w:r>
    </w:p>
    <w:p w:rsidR="00F22318" w:rsidRPr="00067D5C" w:rsidRDefault="00217BAE" w:rsidP="00067D5C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increasing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the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representation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067D5C">
        <w:rPr>
          <w:rFonts w:ascii="Arial" w:eastAsia="Arial" w:hAnsi="Arial" w:cs="Arial"/>
          <w:color w:val="252525"/>
        </w:rPr>
        <w:t>women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in </w:t>
      </w:r>
      <w:proofErr w:type="spellStart"/>
      <w:r w:rsidRPr="00067D5C">
        <w:rPr>
          <w:rFonts w:ascii="Arial" w:eastAsia="Arial" w:hAnsi="Arial" w:cs="Arial"/>
          <w:color w:val="252525"/>
        </w:rPr>
        <w:t>political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color w:val="252525"/>
        </w:rPr>
        <w:t>and</w:t>
      </w:r>
      <w:proofErr w:type="spellEnd"/>
      <w:r w:rsidRPr="00067D5C">
        <w:rPr>
          <w:rFonts w:ascii="Arial" w:eastAsia="Arial" w:hAnsi="Arial" w:cs="Arial"/>
          <w:color w:val="252525"/>
        </w:rPr>
        <w:t xml:space="preserve"> public life.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These </w:t>
      </w:r>
      <w:proofErr w:type="spellStart"/>
      <w:r w:rsidRPr="00F32B4C">
        <w:rPr>
          <w:rFonts w:ascii="Arial" w:eastAsia="Arial" w:hAnsi="Arial" w:cs="Arial"/>
          <w:color w:val="252525"/>
        </w:rPr>
        <w:t>examples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show </w:t>
      </w:r>
      <w:proofErr w:type="spellStart"/>
      <w:r w:rsidRPr="00F32B4C">
        <w:rPr>
          <w:rFonts w:ascii="Arial" w:eastAsia="Arial" w:hAnsi="Arial" w:cs="Arial"/>
          <w:color w:val="252525"/>
        </w:rPr>
        <w:t>that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local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leadership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can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drive real change.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proofErr w:type="spellStart"/>
      <w:r w:rsidRPr="00067D5C">
        <w:rPr>
          <w:rFonts w:ascii="Arial" w:eastAsia="Arial" w:hAnsi="Arial" w:cs="Arial"/>
          <w:b/>
          <w:color w:val="252525"/>
        </w:rPr>
        <w:t>Violence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b/>
          <w:color w:val="252525"/>
        </w:rPr>
        <w:t>Against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b/>
          <w:color w:val="252525"/>
        </w:rPr>
        <w:t>Women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&amp; </w:t>
      </w:r>
      <w:proofErr w:type="spellStart"/>
      <w:r w:rsidRPr="00067D5C">
        <w:rPr>
          <w:rFonts w:ascii="Arial" w:eastAsia="Arial" w:hAnsi="Arial" w:cs="Arial"/>
          <w:b/>
          <w:color w:val="252525"/>
        </w:rPr>
        <w:t>the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Istanbul </w:t>
      </w:r>
      <w:proofErr w:type="spellStart"/>
      <w:r w:rsidRPr="00067D5C">
        <w:rPr>
          <w:rFonts w:ascii="Arial" w:eastAsia="Arial" w:hAnsi="Arial" w:cs="Arial"/>
          <w:b/>
          <w:color w:val="252525"/>
        </w:rPr>
        <w:t>Convention</w:t>
      </w:r>
      <w:proofErr w:type="spellEnd"/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proofErr w:type="spellStart"/>
      <w:r w:rsidRPr="00F32B4C">
        <w:rPr>
          <w:rFonts w:ascii="Arial" w:eastAsia="Arial" w:hAnsi="Arial" w:cs="Arial"/>
          <w:color w:val="252525"/>
        </w:rPr>
        <w:t>Local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governments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are </w:t>
      </w:r>
      <w:proofErr w:type="spellStart"/>
      <w:r w:rsidRPr="00F32B4C">
        <w:rPr>
          <w:rFonts w:ascii="Arial" w:eastAsia="Arial" w:hAnsi="Arial" w:cs="Arial"/>
          <w:color w:val="252525"/>
        </w:rPr>
        <w:t>essential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</w:t>
      </w:r>
      <w:proofErr w:type="spellStart"/>
      <w:r w:rsidRPr="00F32B4C">
        <w:rPr>
          <w:rFonts w:ascii="Arial" w:eastAsia="Arial" w:hAnsi="Arial" w:cs="Arial"/>
          <w:color w:val="252525"/>
        </w:rPr>
        <w:t>preventing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responding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domestic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sexual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violence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ensuring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protection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support,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safe shelter. The Istanbul </w:t>
      </w:r>
      <w:proofErr w:type="spellStart"/>
      <w:r w:rsidRPr="00F32B4C">
        <w:rPr>
          <w:rFonts w:ascii="Arial" w:eastAsia="Arial" w:hAnsi="Arial" w:cs="Arial"/>
          <w:color w:val="252525"/>
        </w:rPr>
        <w:t>Convention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most </w:t>
      </w:r>
      <w:proofErr w:type="spellStart"/>
      <w:r w:rsidRPr="00F32B4C">
        <w:rPr>
          <w:rFonts w:ascii="Arial" w:eastAsia="Arial" w:hAnsi="Arial" w:cs="Arial"/>
          <w:color w:val="252525"/>
        </w:rPr>
        <w:t>comprehensive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international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treaty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on </w:t>
      </w:r>
      <w:proofErr w:type="spellStart"/>
      <w:r w:rsidRPr="00F32B4C">
        <w:rPr>
          <w:rFonts w:ascii="Arial" w:eastAsia="Arial" w:hAnsi="Arial" w:cs="Arial"/>
          <w:color w:val="252525"/>
        </w:rPr>
        <w:t>violence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against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outlines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clear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obligations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for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prevention, </w:t>
      </w:r>
      <w:proofErr w:type="spellStart"/>
      <w:r w:rsidRPr="00F32B4C">
        <w:rPr>
          <w:rFonts w:ascii="Arial" w:eastAsia="Arial" w:hAnsi="Arial" w:cs="Arial"/>
          <w:color w:val="252525"/>
        </w:rPr>
        <w:t>protection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prosecution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coordinated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policy.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proofErr w:type="spellStart"/>
      <w:r w:rsidRPr="00067D5C">
        <w:rPr>
          <w:rFonts w:ascii="Arial" w:eastAsia="Arial" w:hAnsi="Arial" w:cs="Arial"/>
          <w:b/>
          <w:color w:val="252525"/>
        </w:rPr>
        <w:t>Key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b/>
          <w:color w:val="252525"/>
        </w:rPr>
        <w:t>Facts</w:t>
      </w:r>
      <w:proofErr w:type="spellEnd"/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- </w:t>
      </w:r>
      <w:proofErr w:type="spellStart"/>
      <w:r w:rsidRPr="00F32B4C">
        <w:rPr>
          <w:rFonts w:ascii="Arial" w:eastAsia="Arial" w:hAnsi="Arial" w:cs="Arial"/>
          <w:color w:val="252525"/>
        </w:rPr>
        <w:t>Globally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1 in 3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experiences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physical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or </w:t>
      </w:r>
      <w:proofErr w:type="spellStart"/>
      <w:r w:rsidRPr="00F32B4C">
        <w:rPr>
          <w:rFonts w:ascii="Arial" w:eastAsia="Arial" w:hAnsi="Arial" w:cs="Arial"/>
          <w:color w:val="252525"/>
        </w:rPr>
        <w:t>sexual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violence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her </w:t>
      </w:r>
      <w:proofErr w:type="spellStart"/>
      <w:r w:rsidRPr="00F32B4C">
        <w:rPr>
          <w:rFonts w:ascii="Arial" w:eastAsia="Arial" w:hAnsi="Arial" w:cs="Arial"/>
          <w:color w:val="252525"/>
        </w:rPr>
        <w:t>lifetime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 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- </w:t>
      </w:r>
      <w:proofErr w:type="spellStart"/>
      <w:r w:rsidRPr="00F32B4C">
        <w:rPr>
          <w:rFonts w:ascii="Arial" w:eastAsia="Arial" w:hAnsi="Arial" w:cs="Arial"/>
          <w:color w:val="252525"/>
        </w:rPr>
        <w:t>Many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cases </w:t>
      </w:r>
      <w:proofErr w:type="spellStart"/>
      <w:r w:rsidRPr="00F32B4C">
        <w:rPr>
          <w:rFonts w:ascii="Arial" w:eastAsia="Arial" w:hAnsi="Arial" w:cs="Arial"/>
          <w:color w:val="252525"/>
        </w:rPr>
        <w:t>remain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invisible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due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stigma, </w:t>
      </w:r>
      <w:proofErr w:type="spellStart"/>
      <w:r w:rsidRPr="00F32B4C">
        <w:rPr>
          <w:rFonts w:ascii="Arial" w:eastAsia="Arial" w:hAnsi="Arial" w:cs="Arial"/>
          <w:color w:val="252525"/>
        </w:rPr>
        <w:t>fear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or </w:t>
      </w:r>
      <w:proofErr w:type="spellStart"/>
      <w:r w:rsidRPr="00F32B4C">
        <w:rPr>
          <w:rFonts w:ascii="Arial" w:eastAsia="Arial" w:hAnsi="Arial" w:cs="Arial"/>
          <w:color w:val="252525"/>
        </w:rPr>
        <w:t>lack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reporting.  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- </w:t>
      </w:r>
      <w:proofErr w:type="spellStart"/>
      <w:r w:rsidRPr="00F32B4C">
        <w:rPr>
          <w:rFonts w:ascii="Arial" w:eastAsia="Arial" w:hAnsi="Arial" w:cs="Arial"/>
          <w:color w:val="252525"/>
        </w:rPr>
        <w:t>Violence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occurs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both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private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public </w:t>
      </w:r>
      <w:proofErr w:type="spellStart"/>
      <w:r w:rsidRPr="00F32B4C">
        <w:rPr>
          <w:rFonts w:ascii="Arial" w:eastAsia="Arial" w:hAnsi="Arial" w:cs="Arial"/>
          <w:color w:val="252525"/>
        </w:rPr>
        <w:t>spaces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affecting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girls </w:t>
      </w:r>
      <w:proofErr w:type="spellStart"/>
      <w:r w:rsidRPr="00F32B4C">
        <w:rPr>
          <w:rFonts w:ascii="Arial" w:eastAsia="Arial" w:hAnsi="Arial" w:cs="Arial"/>
          <w:color w:val="252525"/>
        </w:rPr>
        <w:t>across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all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backgrounds</w:t>
      </w:r>
      <w:proofErr w:type="spellEnd"/>
      <w:r w:rsidRPr="00F32B4C">
        <w:rPr>
          <w:rFonts w:ascii="Arial" w:eastAsia="Arial" w:hAnsi="Arial" w:cs="Arial"/>
          <w:color w:val="252525"/>
        </w:rPr>
        <w:t>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r w:rsidRPr="00067D5C">
        <w:rPr>
          <w:rFonts w:ascii="Arial" w:eastAsia="Arial" w:hAnsi="Arial" w:cs="Arial"/>
          <w:b/>
          <w:color w:val="252525"/>
        </w:rPr>
        <w:t xml:space="preserve">The </w:t>
      </w:r>
      <w:proofErr w:type="spellStart"/>
      <w:r w:rsidRPr="00067D5C">
        <w:rPr>
          <w:rFonts w:ascii="Arial" w:eastAsia="Arial" w:hAnsi="Arial" w:cs="Arial"/>
          <w:b/>
          <w:color w:val="252525"/>
        </w:rPr>
        <w:t>Four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b/>
          <w:color w:val="252525"/>
        </w:rPr>
        <w:t>Pillars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of </w:t>
      </w:r>
      <w:proofErr w:type="spellStart"/>
      <w:r w:rsidRPr="00067D5C">
        <w:rPr>
          <w:rFonts w:ascii="Arial" w:eastAsia="Arial" w:hAnsi="Arial" w:cs="Arial"/>
          <w:b/>
          <w:color w:val="252525"/>
        </w:rPr>
        <w:t>the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Istanbul </w:t>
      </w:r>
      <w:proofErr w:type="spellStart"/>
      <w:r w:rsidRPr="00067D5C">
        <w:rPr>
          <w:rFonts w:ascii="Arial" w:eastAsia="Arial" w:hAnsi="Arial" w:cs="Arial"/>
          <w:b/>
          <w:color w:val="252525"/>
        </w:rPr>
        <w:t>Convention</w:t>
      </w:r>
      <w:proofErr w:type="spellEnd"/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1. Prevention – stopping </w:t>
      </w:r>
      <w:proofErr w:type="spellStart"/>
      <w:r w:rsidRPr="00F32B4C">
        <w:rPr>
          <w:rFonts w:ascii="Arial" w:eastAsia="Arial" w:hAnsi="Arial" w:cs="Arial"/>
          <w:color w:val="252525"/>
        </w:rPr>
        <w:t>violence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before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occurs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 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2. </w:t>
      </w:r>
      <w:proofErr w:type="spellStart"/>
      <w:r w:rsidRPr="00F32B4C">
        <w:rPr>
          <w:rFonts w:ascii="Arial" w:eastAsia="Arial" w:hAnsi="Arial" w:cs="Arial"/>
          <w:color w:val="252525"/>
        </w:rPr>
        <w:t>Protection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– </w:t>
      </w:r>
      <w:proofErr w:type="spellStart"/>
      <w:r w:rsidRPr="00F32B4C">
        <w:rPr>
          <w:rFonts w:ascii="Arial" w:eastAsia="Arial" w:hAnsi="Arial" w:cs="Arial"/>
          <w:color w:val="252525"/>
        </w:rPr>
        <w:t>supporting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safeguarding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survivors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 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3. </w:t>
      </w:r>
      <w:proofErr w:type="spellStart"/>
      <w:r w:rsidRPr="00F32B4C">
        <w:rPr>
          <w:rFonts w:ascii="Arial" w:eastAsia="Arial" w:hAnsi="Arial" w:cs="Arial"/>
          <w:color w:val="252525"/>
        </w:rPr>
        <w:t>Prosecution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– holding </w:t>
      </w:r>
      <w:proofErr w:type="spellStart"/>
      <w:r w:rsidRPr="00F32B4C">
        <w:rPr>
          <w:rFonts w:ascii="Arial" w:eastAsia="Arial" w:hAnsi="Arial" w:cs="Arial"/>
          <w:color w:val="252525"/>
        </w:rPr>
        <w:t>perpetrators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accountable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 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4. Policy &amp; </w:t>
      </w:r>
      <w:proofErr w:type="spellStart"/>
      <w:r w:rsidRPr="00F32B4C">
        <w:rPr>
          <w:rFonts w:ascii="Arial" w:eastAsia="Arial" w:hAnsi="Arial" w:cs="Arial"/>
          <w:color w:val="252525"/>
        </w:rPr>
        <w:t>Coordination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– </w:t>
      </w:r>
      <w:proofErr w:type="spellStart"/>
      <w:r w:rsidRPr="00F32B4C">
        <w:rPr>
          <w:rFonts w:ascii="Arial" w:eastAsia="Arial" w:hAnsi="Arial" w:cs="Arial"/>
          <w:color w:val="252525"/>
        </w:rPr>
        <w:t>ensuring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integrated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evidence</w:t>
      </w:r>
      <w:r w:rsidRPr="00F32B4C">
        <w:rPr>
          <w:rFonts w:ascii="MS Gothic" w:eastAsia="MS Gothic" w:hAnsi="MS Gothic" w:cs="MS Gothic" w:hint="eastAsia"/>
          <w:color w:val="252525"/>
        </w:rPr>
        <w:t>‑</w:t>
      </w:r>
      <w:r w:rsidRPr="00F32B4C">
        <w:rPr>
          <w:rFonts w:ascii="Arial" w:eastAsia="Arial" w:hAnsi="Arial" w:cs="Arial"/>
          <w:color w:val="252525"/>
        </w:rPr>
        <w:t>based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approach  </w:t>
      </w:r>
    </w:p>
    <w:p w:rsidR="00F22318" w:rsidRPr="00067D5C" w:rsidRDefault="00F22318">
      <w:pPr>
        <w:spacing w:after="0" w:line="270" w:lineRule="auto"/>
        <w:rPr>
          <w:rFonts w:ascii="Arial" w:hAnsi="Arial" w:cs="Arial"/>
          <w:b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r w:rsidRPr="00067D5C">
        <w:rPr>
          <w:rFonts w:ascii="Arial" w:eastAsia="Arial" w:hAnsi="Arial" w:cs="Arial"/>
          <w:b/>
          <w:color w:val="252525"/>
        </w:rPr>
        <w:t xml:space="preserve">Understanding </w:t>
      </w:r>
      <w:proofErr w:type="spellStart"/>
      <w:r w:rsidRPr="00067D5C">
        <w:rPr>
          <w:rFonts w:ascii="Arial" w:eastAsia="Arial" w:hAnsi="Arial" w:cs="Arial"/>
          <w:b/>
          <w:color w:val="252525"/>
        </w:rPr>
        <w:t>the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Nature of </w:t>
      </w:r>
      <w:proofErr w:type="spellStart"/>
      <w:r w:rsidRPr="00067D5C">
        <w:rPr>
          <w:rFonts w:ascii="Arial" w:eastAsia="Arial" w:hAnsi="Arial" w:cs="Arial"/>
          <w:b/>
          <w:color w:val="252525"/>
        </w:rPr>
        <w:t>Violence</w:t>
      </w:r>
      <w:proofErr w:type="spellEnd"/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Research </w:t>
      </w:r>
      <w:proofErr w:type="spellStart"/>
      <w:r w:rsidRPr="00F32B4C">
        <w:rPr>
          <w:rFonts w:ascii="Arial" w:eastAsia="Arial" w:hAnsi="Arial" w:cs="Arial"/>
          <w:color w:val="252525"/>
        </w:rPr>
        <w:t>consistently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shows </w:t>
      </w:r>
      <w:proofErr w:type="spellStart"/>
      <w:r w:rsidRPr="00F32B4C">
        <w:rPr>
          <w:rFonts w:ascii="Arial" w:eastAsia="Arial" w:hAnsi="Arial" w:cs="Arial"/>
          <w:color w:val="252525"/>
        </w:rPr>
        <w:t>that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gender </w:t>
      </w:r>
      <w:proofErr w:type="spellStart"/>
      <w:r w:rsidRPr="00F32B4C">
        <w:rPr>
          <w:rFonts w:ascii="Arial" w:eastAsia="Arial" w:hAnsi="Arial" w:cs="Arial"/>
          <w:color w:val="252525"/>
        </w:rPr>
        <w:t>inequality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is a root </w:t>
      </w:r>
      <w:proofErr w:type="spellStart"/>
      <w:r w:rsidRPr="00F32B4C">
        <w:rPr>
          <w:rFonts w:ascii="Arial" w:eastAsia="Arial" w:hAnsi="Arial" w:cs="Arial"/>
          <w:color w:val="252525"/>
        </w:rPr>
        <w:t>cause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F32B4C">
        <w:rPr>
          <w:rFonts w:ascii="Arial" w:eastAsia="Arial" w:hAnsi="Arial" w:cs="Arial"/>
          <w:color w:val="252525"/>
        </w:rPr>
        <w:t>domestic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sexual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violence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</w:t>
      </w:r>
      <w:proofErr w:type="spellStart"/>
      <w:r w:rsidRPr="00F32B4C">
        <w:rPr>
          <w:rFonts w:ascii="Arial" w:eastAsia="Arial" w:hAnsi="Arial" w:cs="Arial"/>
          <w:color w:val="252525"/>
        </w:rPr>
        <w:t>Yet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many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policies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still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focus </w:t>
      </w:r>
      <w:proofErr w:type="spellStart"/>
      <w:r w:rsidRPr="00F32B4C">
        <w:rPr>
          <w:rFonts w:ascii="Arial" w:eastAsia="Arial" w:hAnsi="Arial" w:cs="Arial"/>
          <w:color w:val="252525"/>
        </w:rPr>
        <w:t>primarily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on “</w:t>
      </w:r>
      <w:proofErr w:type="spellStart"/>
      <w:r w:rsidRPr="00F32B4C">
        <w:rPr>
          <w:rFonts w:ascii="Arial" w:eastAsia="Arial" w:hAnsi="Arial" w:cs="Arial"/>
          <w:color w:val="252525"/>
        </w:rPr>
        <w:t>situational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violence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,” </w:t>
      </w:r>
      <w:proofErr w:type="spellStart"/>
      <w:r w:rsidRPr="00F32B4C">
        <w:rPr>
          <w:rFonts w:ascii="Arial" w:eastAsia="Arial" w:hAnsi="Arial" w:cs="Arial"/>
          <w:color w:val="252525"/>
        </w:rPr>
        <w:t>overlooking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patterns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F32B4C">
        <w:rPr>
          <w:rFonts w:ascii="Arial" w:eastAsia="Arial" w:hAnsi="Arial" w:cs="Arial"/>
          <w:color w:val="252525"/>
        </w:rPr>
        <w:t>coercive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control, power,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domination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</w:t>
      </w:r>
      <w:proofErr w:type="spellStart"/>
      <w:r w:rsidRPr="00F32B4C">
        <w:rPr>
          <w:rFonts w:ascii="Arial" w:eastAsia="Arial" w:hAnsi="Arial" w:cs="Arial"/>
          <w:color w:val="252525"/>
        </w:rPr>
        <w:t>This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misunderstanding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weakens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prevention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response </w:t>
      </w:r>
      <w:proofErr w:type="spellStart"/>
      <w:r w:rsidRPr="00F32B4C">
        <w:rPr>
          <w:rFonts w:ascii="Arial" w:eastAsia="Arial" w:hAnsi="Arial" w:cs="Arial"/>
          <w:color w:val="252525"/>
        </w:rPr>
        <w:t>efforts</w:t>
      </w:r>
      <w:proofErr w:type="spellEnd"/>
      <w:r w:rsidRPr="00F32B4C">
        <w:rPr>
          <w:rFonts w:ascii="Arial" w:eastAsia="Arial" w:hAnsi="Arial" w:cs="Arial"/>
          <w:color w:val="252525"/>
        </w:rPr>
        <w:t>.</w:t>
      </w:r>
    </w:p>
    <w:p w:rsidR="00F22318" w:rsidRPr="00F32B4C" w:rsidRDefault="00F22318">
      <w:pPr>
        <w:pageBreakBefore/>
        <w:spacing w:after="0" w:line="240" w:lineRule="auto"/>
        <w:rPr>
          <w:rFonts w:ascii="Arial" w:hAnsi="Arial" w:cs="Arial"/>
        </w:rPr>
      </w:pP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proofErr w:type="spellStart"/>
      <w:r w:rsidRPr="00F32B4C">
        <w:rPr>
          <w:rFonts w:ascii="Arial" w:eastAsia="Arial" w:hAnsi="Arial" w:cs="Arial"/>
          <w:color w:val="252525"/>
        </w:rPr>
        <w:t>Rising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misogyny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including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among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younger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generations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highlights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urgent </w:t>
      </w:r>
      <w:proofErr w:type="spellStart"/>
      <w:r w:rsidRPr="00F32B4C">
        <w:rPr>
          <w:rFonts w:ascii="Arial" w:eastAsia="Arial" w:hAnsi="Arial" w:cs="Arial"/>
          <w:color w:val="252525"/>
        </w:rPr>
        <w:t>need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for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policies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grounded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 </w:t>
      </w:r>
      <w:proofErr w:type="spellStart"/>
      <w:r w:rsidRPr="00F32B4C">
        <w:rPr>
          <w:rFonts w:ascii="Arial" w:eastAsia="Arial" w:hAnsi="Arial" w:cs="Arial"/>
          <w:color w:val="252525"/>
        </w:rPr>
        <w:t>scientific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evidence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 </w:t>
      </w:r>
      <w:proofErr w:type="spellStart"/>
      <w:r w:rsidRPr="00F32B4C">
        <w:rPr>
          <w:rFonts w:ascii="Arial" w:eastAsia="Arial" w:hAnsi="Arial" w:cs="Arial"/>
          <w:color w:val="252525"/>
        </w:rPr>
        <w:t>clear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understanding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F32B4C">
        <w:rPr>
          <w:rFonts w:ascii="Arial" w:eastAsia="Arial" w:hAnsi="Arial" w:cs="Arial"/>
          <w:color w:val="252525"/>
        </w:rPr>
        <w:t>the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dynamics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F32B4C">
        <w:rPr>
          <w:rFonts w:ascii="Arial" w:eastAsia="Arial" w:hAnsi="Arial" w:cs="Arial"/>
          <w:color w:val="252525"/>
        </w:rPr>
        <w:t>abuse</w:t>
      </w:r>
      <w:proofErr w:type="spellEnd"/>
      <w:r w:rsidRPr="00F32B4C">
        <w:rPr>
          <w:rFonts w:ascii="Arial" w:eastAsia="Arial" w:hAnsi="Arial" w:cs="Arial"/>
          <w:color w:val="252525"/>
        </w:rPr>
        <w:t>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r w:rsidRPr="00067D5C">
        <w:rPr>
          <w:rFonts w:ascii="Arial" w:eastAsia="Arial" w:hAnsi="Arial" w:cs="Arial"/>
          <w:b/>
          <w:color w:val="252525"/>
        </w:rPr>
        <w:t>Technology</w:t>
      </w:r>
      <w:r w:rsidRPr="00067D5C">
        <w:rPr>
          <w:rFonts w:ascii="MS Gothic" w:eastAsia="MS Gothic" w:hAnsi="MS Gothic" w:cs="MS Gothic" w:hint="eastAsia"/>
          <w:b/>
          <w:color w:val="252525"/>
        </w:rPr>
        <w:t>‑</w:t>
      </w:r>
      <w:proofErr w:type="spellStart"/>
      <w:r w:rsidRPr="00067D5C">
        <w:rPr>
          <w:rFonts w:ascii="Arial" w:eastAsia="Arial" w:hAnsi="Arial" w:cs="Arial"/>
          <w:b/>
          <w:color w:val="252525"/>
        </w:rPr>
        <w:t>Facilitated</w:t>
      </w:r>
      <w:proofErr w:type="spellEnd"/>
      <w:r w:rsidRPr="00067D5C">
        <w:rPr>
          <w:rFonts w:ascii="Arial" w:eastAsia="Arial" w:hAnsi="Arial" w:cs="Arial"/>
          <w:b/>
          <w:color w:val="252525"/>
        </w:rPr>
        <w:t xml:space="preserve"> </w:t>
      </w:r>
      <w:proofErr w:type="spellStart"/>
      <w:r w:rsidRPr="00067D5C">
        <w:rPr>
          <w:rFonts w:ascii="Arial" w:eastAsia="Arial" w:hAnsi="Arial" w:cs="Arial"/>
          <w:b/>
          <w:color w:val="252525"/>
        </w:rPr>
        <w:t>Abuse</w:t>
      </w:r>
      <w:proofErr w:type="spellEnd"/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Technology </w:t>
      </w:r>
      <w:proofErr w:type="spellStart"/>
      <w:r w:rsidRPr="00F32B4C">
        <w:rPr>
          <w:rFonts w:ascii="Arial" w:eastAsia="Arial" w:hAnsi="Arial" w:cs="Arial"/>
          <w:color w:val="252525"/>
        </w:rPr>
        <w:t>increasingly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shapes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both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safety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harm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Digital tools </w:t>
      </w:r>
      <w:proofErr w:type="spellStart"/>
      <w:r w:rsidRPr="00F32B4C">
        <w:rPr>
          <w:rFonts w:ascii="Arial" w:eastAsia="Arial" w:hAnsi="Arial" w:cs="Arial"/>
          <w:color w:val="252525"/>
        </w:rPr>
        <w:t>such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as </w:t>
      </w:r>
      <w:proofErr w:type="spellStart"/>
      <w:r w:rsidRPr="00F32B4C">
        <w:rPr>
          <w:rFonts w:ascii="Arial" w:eastAsia="Arial" w:hAnsi="Arial" w:cs="Arial"/>
          <w:color w:val="252525"/>
        </w:rPr>
        <w:t>social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media, tracking </w:t>
      </w:r>
      <w:proofErr w:type="spellStart"/>
      <w:r w:rsidRPr="00F32B4C">
        <w:rPr>
          <w:rFonts w:ascii="Arial" w:eastAsia="Arial" w:hAnsi="Arial" w:cs="Arial"/>
          <w:color w:val="252525"/>
        </w:rPr>
        <w:t>devices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AI,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smart home systems </w:t>
      </w:r>
      <w:proofErr w:type="spellStart"/>
      <w:r w:rsidRPr="00F32B4C">
        <w:rPr>
          <w:rFonts w:ascii="Arial" w:eastAsia="Arial" w:hAnsi="Arial" w:cs="Arial"/>
          <w:color w:val="252525"/>
        </w:rPr>
        <w:t>can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used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monitor, intimidate, or </w:t>
      </w:r>
      <w:proofErr w:type="spellStart"/>
      <w:r w:rsidRPr="00F32B4C">
        <w:rPr>
          <w:rFonts w:ascii="Arial" w:eastAsia="Arial" w:hAnsi="Arial" w:cs="Arial"/>
          <w:color w:val="252525"/>
        </w:rPr>
        <w:t>isolate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victims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. </w:t>
      </w:r>
      <w:proofErr w:type="spellStart"/>
      <w:r w:rsidRPr="00F32B4C">
        <w:rPr>
          <w:rFonts w:ascii="Arial" w:eastAsia="Arial" w:hAnsi="Arial" w:cs="Arial"/>
          <w:color w:val="252525"/>
        </w:rPr>
        <w:t>Local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governments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must </w:t>
      </w:r>
      <w:proofErr w:type="spellStart"/>
      <w:r w:rsidRPr="00F32B4C">
        <w:rPr>
          <w:rFonts w:ascii="Arial" w:eastAsia="Arial" w:hAnsi="Arial" w:cs="Arial"/>
          <w:color w:val="252525"/>
        </w:rPr>
        <w:t>recognize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this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evolving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form of </w:t>
      </w:r>
      <w:proofErr w:type="spellStart"/>
      <w:r w:rsidRPr="00F32B4C">
        <w:rPr>
          <w:rFonts w:ascii="Arial" w:eastAsia="Arial" w:hAnsi="Arial" w:cs="Arial"/>
          <w:color w:val="252525"/>
        </w:rPr>
        <w:t>abuse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ensure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that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professionals in care, </w:t>
      </w:r>
      <w:proofErr w:type="spellStart"/>
      <w:r w:rsidRPr="00F32B4C">
        <w:rPr>
          <w:rFonts w:ascii="Arial" w:eastAsia="Arial" w:hAnsi="Arial" w:cs="Arial"/>
          <w:color w:val="252525"/>
        </w:rPr>
        <w:t>safety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policy </w:t>
      </w:r>
      <w:proofErr w:type="spellStart"/>
      <w:r w:rsidRPr="00F32B4C">
        <w:rPr>
          <w:rFonts w:ascii="Arial" w:eastAsia="Arial" w:hAnsi="Arial" w:cs="Arial"/>
          <w:color w:val="252525"/>
        </w:rPr>
        <w:t>understand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its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impact.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A </w:t>
      </w:r>
      <w:proofErr w:type="spellStart"/>
      <w:r w:rsidRPr="00F32B4C">
        <w:rPr>
          <w:rFonts w:ascii="Arial" w:eastAsia="Arial" w:hAnsi="Arial" w:cs="Arial"/>
          <w:color w:val="252525"/>
        </w:rPr>
        <w:t>future</w:t>
      </w:r>
      <w:r w:rsidRPr="00F32B4C">
        <w:rPr>
          <w:rFonts w:ascii="MS Gothic" w:eastAsia="MS Gothic" w:hAnsi="MS Gothic" w:cs="MS Gothic" w:hint="eastAsia"/>
          <w:color w:val="252525"/>
        </w:rPr>
        <w:t>‑</w:t>
      </w:r>
      <w:r w:rsidRPr="00F32B4C">
        <w:rPr>
          <w:rFonts w:ascii="Arial" w:eastAsia="Arial" w:hAnsi="Arial" w:cs="Arial"/>
          <w:color w:val="252525"/>
        </w:rPr>
        <w:t>proof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approach </w:t>
      </w:r>
      <w:proofErr w:type="spellStart"/>
      <w:r w:rsidRPr="00F32B4C">
        <w:rPr>
          <w:rFonts w:ascii="Arial" w:eastAsia="Arial" w:hAnsi="Arial" w:cs="Arial"/>
          <w:color w:val="252525"/>
        </w:rPr>
        <w:t>requires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awareness, training,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policies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that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address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both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risks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opportunities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of </w:t>
      </w:r>
      <w:proofErr w:type="spellStart"/>
      <w:r w:rsidRPr="00F32B4C">
        <w:rPr>
          <w:rFonts w:ascii="Arial" w:eastAsia="Arial" w:hAnsi="Arial" w:cs="Arial"/>
          <w:color w:val="252525"/>
        </w:rPr>
        <w:t>technology</w:t>
      </w:r>
      <w:proofErr w:type="spellEnd"/>
      <w:r w:rsidRPr="00F32B4C">
        <w:rPr>
          <w:rFonts w:ascii="Arial" w:eastAsia="Arial" w:hAnsi="Arial" w:cs="Arial"/>
          <w:color w:val="252525"/>
        </w:rPr>
        <w:t>.</w:t>
      </w:r>
    </w:p>
    <w:p w:rsidR="00F22318" w:rsidRPr="00F32B4C" w:rsidRDefault="00F22318">
      <w:pPr>
        <w:spacing w:after="0" w:line="270" w:lineRule="auto"/>
        <w:rPr>
          <w:rFonts w:ascii="Arial" w:hAnsi="Arial" w:cs="Arial"/>
        </w:rPr>
      </w:pPr>
    </w:p>
    <w:p w:rsidR="00F22318" w:rsidRPr="00067D5C" w:rsidRDefault="00217BAE">
      <w:pPr>
        <w:spacing w:after="0" w:line="240" w:lineRule="auto"/>
        <w:rPr>
          <w:rFonts w:ascii="Arial" w:hAnsi="Arial" w:cs="Arial"/>
          <w:b/>
        </w:rPr>
      </w:pPr>
      <w:r w:rsidRPr="00067D5C">
        <w:rPr>
          <w:rFonts w:ascii="Arial" w:eastAsia="Arial" w:hAnsi="Arial" w:cs="Arial"/>
          <w:b/>
          <w:color w:val="252525"/>
        </w:rPr>
        <w:t>My Appeal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 xml:space="preserve">I hope </w:t>
      </w:r>
      <w:proofErr w:type="spellStart"/>
      <w:r w:rsidRPr="00F32B4C">
        <w:rPr>
          <w:rFonts w:ascii="Arial" w:eastAsia="Arial" w:hAnsi="Arial" w:cs="Arial"/>
          <w:color w:val="252525"/>
        </w:rPr>
        <w:t>your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party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local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government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will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commit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to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advancing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equality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dignity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safety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for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all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residents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: </w:t>
      </w:r>
      <w:proofErr w:type="spellStart"/>
      <w:r w:rsidRPr="00F32B4C">
        <w:rPr>
          <w:rFonts w:ascii="Arial" w:eastAsia="Arial" w:hAnsi="Arial" w:cs="Arial"/>
          <w:color w:val="252525"/>
        </w:rPr>
        <w:t>women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men, </w:t>
      </w:r>
      <w:proofErr w:type="spellStart"/>
      <w:r w:rsidRPr="00F32B4C">
        <w:rPr>
          <w:rFonts w:ascii="Arial" w:eastAsia="Arial" w:hAnsi="Arial" w:cs="Arial"/>
          <w:color w:val="252525"/>
        </w:rPr>
        <w:t>and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gender</w:t>
      </w:r>
      <w:r w:rsidRPr="00F32B4C">
        <w:rPr>
          <w:rFonts w:ascii="MS Gothic" w:eastAsia="MS Gothic" w:hAnsi="MS Gothic" w:cs="MS Gothic" w:hint="eastAsia"/>
          <w:color w:val="252525"/>
        </w:rPr>
        <w:t>‑</w:t>
      </w:r>
      <w:r w:rsidRPr="00F32B4C">
        <w:rPr>
          <w:rFonts w:ascii="Arial" w:eastAsia="Arial" w:hAnsi="Arial" w:cs="Arial"/>
          <w:color w:val="252525"/>
        </w:rPr>
        <w:t xml:space="preserve">diverse </w:t>
      </w:r>
      <w:proofErr w:type="spellStart"/>
      <w:r w:rsidRPr="00F32B4C">
        <w:rPr>
          <w:rFonts w:ascii="Arial" w:eastAsia="Arial" w:hAnsi="Arial" w:cs="Arial"/>
          <w:color w:val="252525"/>
        </w:rPr>
        <w:t>people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(m/f/x). </w:t>
      </w:r>
      <w:proofErr w:type="spellStart"/>
      <w:r w:rsidRPr="00F32B4C">
        <w:rPr>
          <w:rFonts w:ascii="Arial" w:eastAsia="Arial" w:hAnsi="Arial" w:cs="Arial"/>
          <w:color w:val="252525"/>
        </w:rPr>
        <w:t>Should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you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need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further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information or </w:t>
      </w:r>
      <w:proofErr w:type="spellStart"/>
      <w:r w:rsidRPr="00F32B4C">
        <w:rPr>
          <w:rFonts w:ascii="Arial" w:eastAsia="Arial" w:hAnsi="Arial" w:cs="Arial"/>
          <w:color w:val="252525"/>
        </w:rPr>
        <w:t>guidance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I </w:t>
      </w:r>
      <w:proofErr w:type="spellStart"/>
      <w:r w:rsidRPr="00F32B4C">
        <w:rPr>
          <w:rFonts w:ascii="Arial" w:eastAsia="Arial" w:hAnsi="Arial" w:cs="Arial"/>
          <w:color w:val="252525"/>
        </w:rPr>
        <w:t>am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 </w:t>
      </w:r>
      <w:proofErr w:type="spellStart"/>
      <w:r w:rsidRPr="00F32B4C">
        <w:rPr>
          <w:rFonts w:ascii="Arial" w:eastAsia="Arial" w:hAnsi="Arial" w:cs="Arial"/>
          <w:color w:val="252525"/>
        </w:rPr>
        <w:t>available</w:t>
      </w:r>
      <w:proofErr w:type="spellEnd"/>
      <w:r w:rsidRPr="00F32B4C">
        <w:rPr>
          <w:rFonts w:ascii="Arial" w:eastAsia="Arial" w:hAnsi="Arial" w:cs="Arial"/>
          <w:color w:val="252525"/>
        </w:rPr>
        <w:t>.</w:t>
      </w:r>
    </w:p>
    <w:p w:rsidR="00F32B4C" w:rsidRDefault="00F32B4C">
      <w:pPr>
        <w:spacing w:after="0" w:line="240" w:lineRule="auto"/>
        <w:rPr>
          <w:rFonts w:ascii="Arial" w:hAnsi="Arial" w:cs="Arial"/>
        </w:rPr>
      </w:pP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proofErr w:type="spellStart"/>
      <w:r w:rsidRPr="00F32B4C">
        <w:rPr>
          <w:rFonts w:ascii="Arial" w:eastAsia="Arial" w:hAnsi="Arial" w:cs="Arial"/>
          <w:color w:val="252525"/>
        </w:rPr>
        <w:t>Sincerely</w:t>
      </w:r>
      <w:proofErr w:type="spellEnd"/>
      <w:r w:rsidRPr="00F32B4C">
        <w:rPr>
          <w:rFonts w:ascii="Arial" w:eastAsia="Arial" w:hAnsi="Arial" w:cs="Arial"/>
          <w:color w:val="252525"/>
        </w:rPr>
        <w:t xml:space="preserve">,  </w:t>
      </w:r>
    </w:p>
    <w:p w:rsidR="00F22318" w:rsidRPr="00F32B4C" w:rsidRDefault="00217BAE">
      <w:pPr>
        <w:spacing w:after="0" w:line="240" w:lineRule="auto"/>
        <w:rPr>
          <w:rFonts w:ascii="Arial" w:hAnsi="Arial" w:cs="Arial"/>
        </w:rPr>
      </w:pPr>
      <w:r w:rsidRPr="00F32B4C">
        <w:rPr>
          <w:rFonts w:ascii="Arial" w:eastAsia="Arial" w:hAnsi="Arial" w:cs="Arial"/>
          <w:color w:val="252525"/>
        </w:rPr>
        <w:t>[NAME]</w:t>
      </w:r>
    </w:p>
    <w:sectPr w:rsidR="00F22318" w:rsidRPr="00F32B4C">
      <w:pgSz w:w="11900" w:h="16840"/>
      <w:pgMar w:top="0" w:right="375" w:bottom="270" w:left="3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98D"/>
    <w:multiLevelType w:val="hybridMultilevel"/>
    <w:tmpl w:val="53E00DF0"/>
    <w:lvl w:ilvl="0" w:tplc="AC1060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A5BCC"/>
    <w:multiLevelType w:val="hybridMultilevel"/>
    <w:tmpl w:val="DBC47382"/>
    <w:lvl w:ilvl="0" w:tplc="AC1060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43DCB"/>
    <w:multiLevelType w:val="hybridMultilevel"/>
    <w:tmpl w:val="BFC09E0C"/>
    <w:lvl w:ilvl="0" w:tplc="AC1060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52525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91CC4"/>
    <w:multiLevelType w:val="hybridMultilevel"/>
    <w:tmpl w:val="7980C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2318"/>
    <w:rsid w:val="00067D5C"/>
    <w:rsid w:val="00217BAE"/>
    <w:rsid w:val="00F22318"/>
    <w:rsid w:val="00F3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7D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Gebruiker</cp:lastModifiedBy>
  <cp:revision>4</cp:revision>
  <dcterms:created xsi:type="dcterms:W3CDTF">2026-03-24T09:14:00Z</dcterms:created>
  <dcterms:modified xsi:type="dcterms:W3CDTF">2026-03-24T10:17:00Z</dcterms:modified>
</cp:coreProperties>
</file>